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073" w:rsidRPr="00416073" w:rsidRDefault="00416073" w:rsidP="00416073">
      <w:pPr>
        <w:pStyle w:val="Heading1"/>
        <w:numPr>
          <w:ilvl w:val="0"/>
          <w:numId w:val="0"/>
        </w:numPr>
        <w:jc w:val="both"/>
        <w:rPr>
          <w:rFonts w:eastAsia="Calibri"/>
          <w:caps/>
          <w:u w:val="single"/>
        </w:rPr>
      </w:pPr>
      <w:bookmarkStart w:id="0" w:name="_Format_1-_Format"/>
      <w:bookmarkStart w:id="1" w:name="_Toc525552616"/>
      <w:bookmarkEnd w:id="0"/>
      <w:r w:rsidRPr="00416073">
        <w:rPr>
          <w:caps/>
          <w:u w:val="single"/>
        </w:rPr>
        <w:t>Format of undertaking to be submitted by Clearing Member to Clearing Bank for operation of clearing account</w:t>
      </w:r>
      <w:bookmarkEnd w:id="1"/>
    </w:p>
    <w:p w:rsidR="00416073" w:rsidRPr="000D2E01" w:rsidRDefault="00416073" w:rsidP="00416073">
      <w:pPr>
        <w:spacing w:before="120" w:after="120" w:line="360" w:lineRule="auto"/>
        <w:ind w:right="-187"/>
        <w:jc w:val="both"/>
        <w:rPr>
          <w:rFonts w:ascii="Arial" w:hAnsi="Arial" w:cs="Arial"/>
          <w:b/>
          <w:sz w:val="20"/>
          <w:szCs w:val="20"/>
        </w:rPr>
      </w:pPr>
      <w:r w:rsidRPr="000D2E01">
        <w:rPr>
          <w:rFonts w:ascii="Arial" w:hAnsi="Arial" w:cs="Arial"/>
          <w:b/>
          <w:sz w:val="20"/>
          <w:szCs w:val="20"/>
        </w:rPr>
        <w:t xml:space="preserve">Members are required to submit the undertaking to the Clearing Bank authorizing them to debit and credit their Clearing Bank Account in the following format. </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Date:</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From:</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[Member name and address]</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To:</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[Clearing bank name and address]</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Dear Sirs,</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Sub: Operation of Clearing Bank for National Commodity Clearing Ltd. (NCCL) with effect from ___________.</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Ref: Our Clearing Bank Account No</w:t>
      </w:r>
      <w:proofErr w:type="gramStart"/>
      <w:r w:rsidRPr="000D2E01">
        <w:rPr>
          <w:rFonts w:ascii="Arial" w:hAnsi="Arial" w:cs="Arial"/>
          <w:sz w:val="20"/>
          <w:szCs w:val="20"/>
        </w:rPr>
        <w:t>:_</w:t>
      </w:r>
      <w:proofErr w:type="gramEnd"/>
      <w:r w:rsidRPr="000D2E01">
        <w:rPr>
          <w:rFonts w:ascii="Arial" w:hAnsi="Arial" w:cs="Arial"/>
          <w:sz w:val="20"/>
          <w:szCs w:val="20"/>
        </w:rPr>
        <w:t>_____________ with [Clearing Bank name and address]</w:t>
      </w:r>
    </w:p>
    <w:p w:rsidR="00416073" w:rsidRPr="000D2E01" w:rsidRDefault="00416073" w:rsidP="00416073">
      <w:pPr>
        <w:autoSpaceDE w:val="0"/>
        <w:autoSpaceDN w:val="0"/>
        <w:adjustRightInd w:val="0"/>
        <w:spacing w:before="120" w:after="120" w:line="360" w:lineRule="auto"/>
        <w:ind w:right="-187"/>
        <w:jc w:val="both"/>
        <w:rPr>
          <w:rFonts w:ascii="Arial" w:hAnsi="Arial" w:cs="Arial"/>
          <w:sz w:val="20"/>
          <w:szCs w:val="20"/>
        </w:rPr>
      </w:pPr>
      <w:r w:rsidRPr="000D2E01">
        <w:rPr>
          <w:rFonts w:ascii="Arial" w:hAnsi="Arial" w:cs="Arial"/>
          <w:sz w:val="20"/>
          <w:szCs w:val="20"/>
        </w:rPr>
        <w:t>With reference to the above, we note that:</w:t>
      </w:r>
    </w:p>
    <w:p w:rsidR="00416073" w:rsidRPr="00F56B85" w:rsidRDefault="00416073" w:rsidP="00F56B85">
      <w:pPr>
        <w:pStyle w:val="ListParagraph"/>
        <w:numPr>
          <w:ilvl w:val="0"/>
          <w:numId w:val="2"/>
        </w:numPr>
        <w:autoSpaceDE w:val="0"/>
        <w:autoSpaceDN w:val="0"/>
        <w:adjustRightInd w:val="0"/>
        <w:spacing w:before="120" w:after="120" w:line="360" w:lineRule="auto"/>
        <w:ind w:left="567" w:right="-187" w:hanging="567"/>
        <w:jc w:val="both"/>
        <w:rPr>
          <w:rFonts w:ascii="Arial" w:hAnsi="Arial" w:cs="Arial"/>
          <w:sz w:val="20"/>
          <w:szCs w:val="20"/>
        </w:rPr>
      </w:pPr>
      <w:r w:rsidRPr="00F56B85">
        <w:rPr>
          <w:rFonts w:ascii="Arial" w:hAnsi="Arial" w:cs="Arial"/>
          <w:sz w:val="20"/>
          <w:szCs w:val="20"/>
        </w:rPr>
        <w:t>National Commodity and Derivatives Exchange Ltd. (NCDEX) has formed National Commodity Clearing Limited (NCCL) as a wholly owned subsidiary to undertake clearing and settlement activity for its Members. NCCL has established a clearing and settlement system, whereby its members will be able to undertake the clearing and settlement of deals admitted.</w:t>
      </w:r>
    </w:p>
    <w:p w:rsidR="00416073" w:rsidRPr="00F56B85" w:rsidRDefault="00416073" w:rsidP="00F56B85">
      <w:pPr>
        <w:pStyle w:val="ListParagraph"/>
        <w:numPr>
          <w:ilvl w:val="0"/>
          <w:numId w:val="2"/>
        </w:numPr>
        <w:autoSpaceDE w:val="0"/>
        <w:autoSpaceDN w:val="0"/>
        <w:adjustRightInd w:val="0"/>
        <w:spacing w:before="120" w:after="120" w:line="360" w:lineRule="auto"/>
        <w:ind w:left="567" w:right="-187" w:hanging="567"/>
        <w:jc w:val="both"/>
        <w:rPr>
          <w:rFonts w:ascii="Arial" w:hAnsi="Arial" w:cs="Arial"/>
          <w:sz w:val="20"/>
          <w:szCs w:val="20"/>
        </w:rPr>
      </w:pPr>
      <w:r w:rsidRPr="00F56B85">
        <w:rPr>
          <w:rFonts w:ascii="Arial" w:hAnsi="Arial" w:cs="Arial"/>
          <w:sz w:val="20"/>
          <w:szCs w:val="20"/>
        </w:rPr>
        <w:t>The bank has been nominated / appointed as a Clearing Bank for the purpose of Clearing and Settlement by NCCL</w:t>
      </w:r>
    </w:p>
    <w:p w:rsidR="00416073" w:rsidRPr="00F56B85" w:rsidRDefault="00416073" w:rsidP="00F56B85">
      <w:pPr>
        <w:pStyle w:val="ListParagraph"/>
        <w:numPr>
          <w:ilvl w:val="0"/>
          <w:numId w:val="2"/>
        </w:numPr>
        <w:autoSpaceDE w:val="0"/>
        <w:autoSpaceDN w:val="0"/>
        <w:adjustRightInd w:val="0"/>
        <w:spacing w:before="120" w:after="120" w:line="360" w:lineRule="auto"/>
        <w:ind w:left="567" w:right="-187" w:hanging="567"/>
        <w:jc w:val="both"/>
        <w:rPr>
          <w:rFonts w:ascii="Arial" w:hAnsi="Arial" w:cs="Arial"/>
          <w:sz w:val="20"/>
          <w:szCs w:val="20"/>
        </w:rPr>
      </w:pPr>
      <w:r w:rsidRPr="00F56B85">
        <w:rPr>
          <w:rFonts w:ascii="Arial" w:hAnsi="Arial" w:cs="Arial"/>
          <w:sz w:val="20"/>
          <w:szCs w:val="20"/>
        </w:rPr>
        <w:t xml:space="preserve">As per the Byelaws, Rules and Regulations of NCCL, the member shall authorise the Clearing Bank to access their clearing account for debiting &amp; crediting their accounts as per the instructions received from NCCL from time to time </w:t>
      </w:r>
    </w:p>
    <w:p w:rsidR="00416073" w:rsidRPr="00F56B85" w:rsidRDefault="00416073" w:rsidP="00F56B85">
      <w:pPr>
        <w:pStyle w:val="ListParagraph"/>
        <w:numPr>
          <w:ilvl w:val="0"/>
          <w:numId w:val="2"/>
        </w:numPr>
        <w:autoSpaceDE w:val="0"/>
        <w:autoSpaceDN w:val="0"/>
        <w:adjustRightInd w:val="0"/>
        <w:spacing w:before="120" w:after="120" w:line="360" w:lineRule="auto"/>
        <w:ind w:left="567" w:right="-187" w:hanging="567"/>
        <w:jc w:val="both"/>
        <w:rPr>
          <w:rFonts w:ascii="Arial" w:hAnsi="Arial" w:cs="Arial"/>
          <w:sz w:val="20"/>
          <w:szCs w:val="20"/>
        </w:rPr>
      </w:pPr>
      <w:r w:rsidRPr="00F56B85">
        <w:rPr>
          <w:rFonts w:ascii="Arial" w:hAnsi="Arial" w:cs="Arial"/>
          <w:sz w:val="20"/>
          <w:szCs w:val="20"/>
        </w:rPr>
        <w:t xml:space="preserve">Having due regard to the above, we hereby irrevocably authorise the Clearing bank to debit and credit our above mentioned account number as per instructions received from NCCL from time to time. Further, we authorise the Clearing Bank to report balances and other information relating to this account to NCCL as may be required by NCCL from time to time. This irrevocable undertaking will be effective with immediate effect. </w:t>
      </w:r>
    </w:p>
    <w:p w:rsidR="00416073" w:rsidRPr="00F56B85" w:rsidRDefault="00416073" w:rsidP="00F56B85">
      <w:pPr>
        <w:pStyle w:val="ListParagraph"/>
        <w:numPr>
          <w:ilvl w:val="0"/>
          <w:numId w:val="2"/>
        </w:numPr>
        <w:autoSpaceDE w:val="0"/>
        <w:autoSpaceDN w:val="0"/>
        <w:adjustRightInd w:val="0"/>
        <w:spacing w:before="120" w:after="120" w:line="360" w:lineRule="auto"/>
        <w:ind w:left="567" w:right="-187" w:hanging="567"/>
        <w:jc w:val="both"/>
        <w:rPr>
          <w:rFonts w:ascii="Arial" w:hAnsi="Arial" w:cs="Arial"/>
          <w:sz w:val="20"/>
          <w:szCs w:val="20"/>
        </w:rPr>
      </w:pPr>
      <w:r w:rsidRPr="00F56B85">
        <w:rPr>
          <w:rFonts w:ascii="Arial" w:hAnsi="Arial" w:cs="Arial"/>
          <w:sz w:val="20"/>
          <w:szCs w:val="20"/>
        </w:rPr>
        <w:t>We further hereby undertake to abide by such other or further guidelines / instructions as may be communicated / decided by NCCL.</w:t>
      </w:r>
    </w:p>
    <w:p w:rsidR="006D77C5" w:rsidRDefault="00416073" w:rsidP="00416073">
      <w:r w:rsidRPr="000D2E01">
        <w:rPr>
          <w:rFonts w:ascii="Arial" w:hAnsi="Arial" w:cs="Arial"/>
          <w:sz w:val="20"/>
          <w:szCs w:val="20"/>
        </w:rPr>
        <w:t>Yours faithfully,</w:t>
      </w:r>
      <w:bookmarkStart w:id="2" w:name="_GoBack"/>
      <w:bookmarkEnd w:id="2"/>
    </w:p>
    <w:sectPr w:rsidR="006D7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D1242"/>
    <w:multiLevelType w:val="hybridMultilevel"/>
    <w:tmpl w:val="433E26FC"/>
    <w:lvl w:ilvl="0" w:tplc="DE9824AE">
      <w:start w:val="1"/>
      <w:numFmt w:val="decimal"/>
      <w:pStyle w:val="Heading1"/>
      <w:lvlText w:val="%1."/>
      <w:lvlJc w:val="left"/>
      <w:pPr>
        <w:ind w:left="360" w:hanging="360"/>
      </w:pPr>
      <w:rPr>
        <w:rFonts w:ascii="Arial" w:hAnsi="Arial" w:hint="default"/>
        <w:b/>
        <w:i w:val="0"/>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BB07C5"/>
    <w:multiLevelType w:val="hybridMultilevel"/>
    <w:tmpl w:val="6116DE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73"/>
    <w:rsid w:val="00416073"/>
    <w:rsid w:val="00482272"/>
    <w:rsid w:val="00CA0145"/>
    <w:rsid w:val="00F56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BCA9-651D-47E7-BF66-2C54A249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07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6073"/>
    <w:pPr>
      <w:keepNext/>
      <w:numPr>
        <w:numId w:val="1"/>
      </w:numPr>
      <w:spacing w:before="120" w:after="120" w:line="360" w:lineRule="auto"/>
      <w:outlineLvl w:val="0"/>
    </w:pPr>
    <w:rPr>
      <w:rFonts w:ascii="Arial" w:hAnsi="Arial"/>
      <w:b/>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073"/>
    <w:rPr>
      <w:rFonts w:ascii="Arial" w:eastAsia="Times New Roman" w:hAnsi="Arial" w:cs="Times New Roman"/>
      <w:b/>
      <w:bCs/>
      <w:kern w:val="32"/>
      <w:sz w:val="20"/>
      <w:szCs w:val="32"/>
      <w:lang w:val="en-US"/>
    </w:rPr>
  </w:style>
  <w:style w:type="paragraph" w:styleId="ListParagraph">
    <w:name w:val="List Paragraph"/>
    <w:basedOn w:val="Normal"/>
    <w:uiPriority w:val="34"/>
    <w:qFormat/>
    <w:rsid w:val="00F5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VIDYADAR BANGERA / MARKET INTELLIGENCE /NCDEX</dc:creator>
  <cp:keywords/>
  <dc:description/>
  <cp:lastModifiedBy>VIDYADAR BANGERA / MARKET INTELLIGENCE /NCDEX</cp:lastModifiedBy>
  <cp:revision>2</cp:revision>
  <dcterms:created xsi:type="dcterms:W3CDTF">2018-09-24T13:31:00Z</dcterms:created>
  <dcterms:modified xsi:type="dcterms:W3CDTF">2018-09-24T13:38:00Z</dcterms:modified>
</cp:coreProperties>
</file>